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E5" w:rsidRDefault="00E16BE5" w:rsidP="00E16BE5">
      <w:pPr>
        <w:jc w:val="center"/>
        <w:rPr>
          <w:rFonts w:ascii="Tahoma" w:hAnsi="Tahoma" w:cs="Tahoma"/>
          <w:b/>
          <w:bCs/>
          <w:color w:val="C20336"/>
          <w:lang w:val="en-US"/>
        </w:rPr>
      </w:pPr>
      <w:r>
        <w:rPr>
          <w:rFonts w:ascii="Tahoma" w:hAnsi="Tahoma" w:cs="Tahoma"/>
          <w:b/>
          <w:bCs/>
          <w:color w:val="C20336"/>
        </w:rPr>
        <w:t>Комплекс</w:t>
      </w:r>
      <w:r w:rsidRPr="00070607">
        <w:rPr>
          <w:rFonts w:ascii="Tahoma" w:hAnsi="Tahoma" w:cs="Tahoma"/>
          <w:b/>
          <w:bCs/>
          <w:color w:val="C20336"/>
        </w:rPr>
        <w:t xml:space="preserve"> </w:t>
      </w:r>
      <w:r>
        <w:rPr>
          <w:rFonts w:ascii="Tahoma" w:hAnsi="Tahoma" w:cs="Tahoma"/>
          <w:b/>
          <w:bCs/>
          <w:color w:val="C20336"/>
        </w:rPr>
        <w:t>зерноперерабатывающий ЗМП ПСМ</w:t>
      </w:r>
    </w:p>
    <w:p w:rsidR="00E16BE5" w:rsidRPr="00E16BE5" w:rsidRDefault="00E16BE5" w:rsidP="00E16BE5">
      <w:pPr>
        <w:jc w:val="center"/>
        <w:rPr>
          <w:rFonts w:ascii="Tahoma" w:hAnsi="Tahoma" w:cs="Tahoma"/>
          <w:b/>
          <w:bCs/>
          <w:color w:val="C20336"/>
          <w:lang w:val="en-US"/>
        </w:rPr>
      </w:pPr>
    </w:p>
    <w:p w:rsidR="00E16BE5" w:rsidRPr="00107E3E" w:rsidRDefault="00E16BE5" w:rsidP="00E16BE5">
      <w:pPr>
        <w:ind w:firstLine="284"/>
        <w:jc w:val="both"/>
        <w:rPr>
          <w:rFonts w:ascii="Tahoma" w:hAnsi="Tahoma" w:cs="Tahoma"/>
          <w:color w:val="212121"/>
          <w:szCs w:val="22"/>
          <w:shd w:val="clear" w:color="auto" w:fill="FFFFFF"/>
        </w:rPr>
      </w:pP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>Комплекс ЗМП-ПСМ работает от электрической сети напряжением 380</w:t>
      </w:r>
      <w:proofErr w:type="gramStart"/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В</w:t>
      </w:r>
      <w:proofErr w:type="gramEnd"/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и предназначен для выполнения следующих работ:</w:t>
      </w:r>
    </w:p>
    <w:p w:rsidR="00E16BE5" w:rsidRPr="00107E3E" w:rsidRDefault="00E16BE5" w:rsidP="00E16BE5">
      <w:pPr>
        <w:ind w:left="469" w:hanging="350"/>
        <w:jc w:val="both"/>
        <w:rPr>
          <w:rFonts w:ascii="Tahoma" w:hAnsi="Tahoma" w:cs="Tahoma"/>
          <w:color w:val="212121"/>
          <w:szCs w:val="22"/>
          <w:shd w:val="clear" w:color="auto" w:fill="FFFFFF"/>
        </w:rPr>
      </w:pP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>- погрузк</w:t>
      </w:r>
      <w:r>
        <w:rPr>
          <w:rFonts w:ascii="Tahoma" w:hAnsi="Tahoma" w:cs="Tahoma"/>
          <w:color w:val="212121"/>
          <w:szCs w:val="22"/>
          <w:shd w:val="clear" w:color="auto" w:fill="FFFFFF"/>
        </w:rPr>
        <w:t>и</w:t>
      </w: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зерна в транспортные средства;</w:t>
      </w:r>
    </w:p>
    <w:p w:rsidR="00E16BE5" w:rsidRPr="00107E3E" w:rsidRDefault="00E16BE5" w:rsidP="00E16BE5">
      <w:pPr>
        <w:ind w:left="469" w:hanging="350"/>
        <w:jc w:val="both"/>
        <w:rPr>
          <w:rFonts w:ascii="Tahoma" w:hAnsi="Tahoma" w:cs="Tahoma"/>
          <w:color w:val="212121"/>
          <w:szCs w:val="22"/>
          <w:shd w:val="clear" w:color="auto" w:fill="FFFFFF"/>
        </w:rPr>
      </w:pP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- </w:t>
      </w:r>
      <w:proofErr w:type="spellStart"/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>перебуртовк</w:t>
      </w:r>
      <w:r>
        <w:rPr>
          <w:rFonts w:ascii="Tahoma" w:hAnsi="Tahoma" w:cs="Tahoma"/>
          <w:color w:val="212121"/>
          <w:szCs w:val="22"/>
          <w:shd w:val="clear" w:color="auto" w:fill="FFFFFF"/>
        </w:rPr>
        <w:t>и</w:t>
      </w:r>
      <w:proofErr w:type="spellEnd"/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зерна с отделением легких фракций;</w:t>
      </w:r>
    </w:p>
    <w:p w:rsidR="00E16BE5" w:rsidRPr="00107E3E" w:rsidRDefault="00E16BE5" w:rsidP="00E16BE5">
      <w:pPr>
        <w:ind w:left="469" w:hanging="350"/>
        <w:jc w:val="both"/>
        <w:rPr>
          <w:rFonts w:ascii="Tahoma" w:hAnsi="Tahoma" w:cs="Tahoma"/>
          <w:color w:val="212121"/>
          <w:szCs w:val="22"/>
          <w:shd w:val="clear" w:color="auto" w:fill="FFFFFF"/>
        </w:rPr>
      </w:pP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>-</w:t>
      </w:r>
      <w:r>
        <w:rPr>
          <w:rFonts w:ascii="Tahoma" w:hAnsi="Tahoma" w:cs="Tahoma"/>
          <w:color w:val="212121"/>
          <w:szCs w:val="22"/>
          <w:shd w:val="clear" w:color="auto" w:fill="FFFFFF"/>
        </w:rPr>
        <w:t xml:space="preserve"> </w:t>
      </w: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>снижени</w:t>
      </w:r>
      <w:r>
        <w:rPr>
          <w:rFonts w:ascii="Tahoma" w:hAnsi="Tahoma" w:cs="Tahoma"/>
          <w:color w:val="212121"/>
          <w:szCs w:val="22"/>
          <w:shd w:val="clear" w:color="auto" w:fill="FFFFFF"/>
        </w:rPr>
        <w:t>я</w:t>
      </w: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температуры и влажности зерна при очистительных и сушильных комплексах;</w:t>
      </w:r>
    </w:p>
    <w:p w:rsidR="00E16BE5" w:rsidRPr="00107E3E" w:rsidRDefault="00E16BE5" w:rsidP="00E16BE5">
      <w:pPr>
        <w:pStyle w:val="a8"/>
        <w:shd w:val="clear" w:color="auto" w:fill="FFFFFF"/>
        <w:spacing w:line="270" w:lineRule="atLeast"/>
        <w:ind w:left="0"/>
        <w:jc w:val="both"/>
        <w:rPr>
          <w:rFonts w:ascii="Tahoma" w:hAnsi="Tahoma" w:cs="Tahoma"/>
          <w:color w:val="212121"/>
          <w:szCs w:val="22"/>
          <w:shd w:val="clear" w:color="auto" w:fill="FFFFFF"/>
        </w:rPr>
      </w:pP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>- увлажненно</w:t>
      </w:r>
      <w:r>
        <w:rPr>
          <w:rFonts w:ascii="Tahoma" w:hAnsi="Tahoma" w:cs="Tahoma"/>
          <w:color w:val="212121"/>
          <w:szCs w:val="22"/>
          <w:shd w:val="clear" w:color="auto" w:fill="FFFFFF"/>
        </w:rPr>
        <w:t>го</w:t>
      </w: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протравливани</w:t>
      </w:r>
      <w:r>
        <w:rPr>
          <w:rFonts w:ascii="Tahoma" w:hAnsi="Tahoma" w:cs="Tahoma"/>
          <w:color w:val="212121"/>
          <w:szCs w:val="22"/>
          <w:shd w:val="clear" w:color="auto" w:fill="FFFFFF"/>
        </w:rPr>
        <w:t>я</w:t>
      </w:r>
      <w:r w:rsidRPr="00107E3E">
        <w:rPr>
          <w:rFonts w:ascii="Tahoma" w:hAnsi="Tahoma" w:cs="Tahoma"/>
          <w:color w:val="212121"/>
          <w:szCs w:val="22"/>
          <w:shd w:val="clear" w:color="auto" w:fill="FFFFFF"/>
        </w:rPr>
        <w:t xml:space="preserve"> семян зерновых, бобовых и технических культур.</w:t>
      </w:r>
    </w:p>
    <w:p w:rsidR="00E16BE5" w:rsidRPr="00070607" w:rsidRDefault="00E16BE5" w:rsidP="00E16BE5">
      <w:pPr>
        <w:pStyle w:val="a8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701603</wp:posOffset>
            </wp:positionV>
            <wp:extent cx="2806810" cy="2682753"/>
            <wp:effectExtent l="0" t="0" r="0" b="0"/>
            <wp:wrapNone/>
            <wp:docPr id="18" name="Рисунок 18" descr="http://www.kleverltd.com.opt-images.1c-bitrix-cdn.ru/upload/iblock/c51/c516915f418d93d58f2c0dfc3ceeb246.jpg?148804443717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leverltd.com.opt-images.1c-bitrix-cdn.ru/upload/iblock/c51/c516915f418d93d58f2c0dfc3ceeb246.jpg?14880444371757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4000" b="95667" l="11000" r="83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59" r="12268"/>
                    <a:stretch/>
                  </pic:blipFill>
                  <pic:spPr bwMode="auto">
                    <a:xfrm>
                      <a:off x="0" y="0"/>
                      <a:ext cx="2806810" cy="26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C16F6">
        <w:rPr>
          <w:rFonts w:ascii="Tahoma" w:hAnsi="Tahoma" w:cs="Tahoma"/>
          <w:noProof/>
        </w:rPr>
        <w:drawing>
          <wp:inline distT="0" distB="0" distL="0" distR="0">
            <wp:extent cx="5057030" cy="777375"/>
            <wp:effectExtent l="0" t="0" r="0" b="3810"/>
            <wp:docPr id="2" name="Рисунок 17" descr="http://www.kleverltd.com.opt-images.1c-bitrix-cdn.ru/images/stories/catalog_tech3/34.%20MZS/Pictogramm%20mzs.jpg?14870972005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leverltd.com.opt-images.1c-bitrix-cdn.ru/images/stories/catalog_tech3/34.%20MZS/Pictogramm%20mzs.jpg?1487097200537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08" b="8272"/>
                    <a:stretch/>
                  </pic:blipFill>
                  <pic:spPr bwMode="auto">
                    <a:xfrm>
                      <a:off x="0" y="0"/>
                      <a:ext cx="5081694" cy="7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BE5" w:rsidRPr="00070607" w:rsidRDefault="00E16BE5" w:rsidP="00E16BE5">
      <w:pPr>
        <w:pStyle w:val="a8"/>
        <w:shd w:val="clear" w:color="auto" w:fill="FFFFFF"/>
        <w:spacing w:line="270" w:lineRule="atLeast"/>
        <w:ind w:left="0" w:right="-426"/>
        <w:rPr>
          <w:rFonts w:ascii="Tahoma" w:hAnsi="Tahoma" w:cs="Tahoma"/>
        </w:rPr>
      </w:pPr>
      <w:r w:rsidRPr="00410991">
        <w:t xml:space="preserve"> </w:t>
      </w:r>
      <w:r>
        <w:rPr>
          <w:noProof/>
        </w:rPr>
        <w:drawing>
          <wp:inline distT="0" distB="0" distL="0" distR="0">
            <wp:extent cx="3412674" cy="2344762"/>
            <wp:effectExtent l="19050" t="0" r="0" b="0"/>
            <wp:docPr id="8" name="Рисунок 1" descr="https://www.kleverltd.ru/upload/iblock/27e/27e653da35364b24ad914ef61706a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leverltd.ru/upload/iblock/27e/27e653da35364b24ad914ef61706ac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00" t="5641" r="4556" b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73" cy="23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7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E16BE5" w:rsidRPr="00070607" w:rsidTr="008B50CA">
        <w:tc>
          <w:tcPr>
            <w:tcW w:w="5495" w:type="dxa"/>
          </w:tcPr>
          <w:p w:rsidR="00E16BE5" w:rsidRPr="00070607" w:rsidRDefault="00E16BE5" w:rsidP="008B50CA">
            <w:pPr>
              <w:rPr>
                <w:rFonts w:ascii="Tahoma" w:hAnsi="Tahoma" w:cs="Tahoma"/>
                <w:b/>
              </w:rPr>
            </w:pPr>
          </w:p>
        </w:tc>
      </w:tr>
      <w:tr w:rsidR="00E16BE5" w:rsidRPr="00070607" w:rsidTr="008B50CA">
        <w:sdt>
          <w:sdtPr>
            <w:rPr>
              <w:rFonts w:ascii="Tahoma" w:hAnsi="Tahoma" w:cs="Tahoma"/>
            </w:rPr>
            <w:id w:val="-157466025"/>
            <w:placeholder>
              <w:docPart w:val="B11868BFC44B422195458AFF43813989"/>
            </w:placeholder>
            <w:showingPlcHdr/>
          </w:sdtPr>
          <w:sdtContent>
            <w:tc>
              <w:tcPr>
                <w:tcW w:w="5495" w:type="dxa"/>
              </w:tcPr>
              <w:p w:rsidR="00E16BE5" w:rsidRPr="00070607" w:rsidRDefault="00E16BE5" w:rsidP="00E16BE5">
                <w:pPr>
                  <w:rPr>
                    <w:rFonts w:ascii="Tahoma" w:hAnsi="Tahoma" w:cs="Tahoma"/>
                  </w:rPr>
                </w:pPr>
                <w:r w:rsidRPr="00C002CA">
                  <w:rPr>
                    <w:rStyle w:val="a9"/>
                    <w:rFonts w:ascii="Tahoma" w:eastAsia="Calibri" w:hAnsi="Tahoma" w:cs="Tahoma"/>
                    <w:color w:val="7F7F7F" w:themeColor="text1" w:themeTint="80"/>
                  </w:rPr>
                  <w:t>Место для ввода текста.</w:t>
                </w:r>
              </w:p>
            </w:tc>
          </w:sdtContent>
        </w:sdt>
      </w:tr>
    </w:tbl>
    <w:p w:rsidR="00E16BE5" w:rsidRPr="00070607" w:rsidRDefault="00E16BE5" w:rsidP="00E16BE5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E16BE5" w:rsidRPr="00070607" w:rsidRDefault="00E16BE5" w:rsidP="00E16BE5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E16BE5" w:rsidRPr="00070607" w:rsidRDefault="00E16BE5" w:rsidP="00E16BE5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E16BE5" w:rsidRDefault="00E16BE5" w:rsidP="00E16BE5">
      <w:pPr>
        <w:jc w:val="center"/>
        <w:rPr>
          <w:rFonts w:ascii="Tahoma" w:hAnsi="Tahoma" w:cs="Tahoma"/>
          <w:b/>
          <w:bCs/>
          <w:color w:val="C20336"/>
        </w:rPr>
      </w:pPr>
      <w:r w:rsidRPr="00070607">
        <w:rPr>
          <w:rFonts w:ascii="Tahoma" w:hAnsi="Tahoma" w:cs="Tahoma"/>
          <w:b/>
          <w:bCs/>
          <w:color w:val="C20336"/>
        </w:rPr>
        <w:t xml:space="preserve">Качественные преимущества </w:t>
      </w:r>
      <w:r>
        <w:rPr>
          <w:rFonts w:ascii="Tahoma" w:hAnsi="Tahoma" w:cs="Tahoma"/>
          <w:b/>
          <w:bCs/>
          <w:color w:val="C20336"/>
        </w:rPr>
        <w:t>зерноперерабатывающего комплекса</w:t>
      </w:r>
    </w:p>
    <w:p w:rsidR="00E16BE5" w:rsidRPr="00070607" w:rsidRDefault="00E16BE5" w:rsidP="00E16BE5">
      <w:pPr>
        <w:jc w:val="center"/>
        <w:rPr>
          <w:rFonts w:ascii="Tahoma" w:hAnsi="Tahoma" w:cs="Tahoma"/>
          <w:b/>
          <w:bCs/>
          <w:color w:val="C20336"/>
        </w:rPr>
      </w:pPr>
      <w:r w:rsidRPr="00070607">
        <w:rPr>
          <w:rFonts w:ascii="Tahoma" w:hAnsi="Tahoma" w:cs="Tahoma"/>
          <w:b/>
          <w:bCs/>
          <w:color w:val="C20336"/>
        </w:rPr>
        <w:t xml:space="preserve"> </w:t>
      </w:r>
      <w:r>
        <w:rPr>
          <w:rFonts w:ascii="Tahoma" w:hAnsi="Tahoma" w:cs="Tahoma"/>
          <w:b/>
          <w:bCs/>
          <w:color w:val="C20336"/>
        </w:rPr>
        <w:t>ЗМП ПСМ</w:t>
      </w:r>
    </w:p>
    <w:p w:rsidR="00E16BE5" w:rsidRPr="00070607" w:rsidRDefault="00E16BE5" w:rsidP="00E16BE5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24"/>
        <w:gridCol w:w="7650"/>
      </w:tblGrid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070607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070607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831810" cy="992103"/>
                  <wp:effectExtent l="19050" t="0" r="0" b="0"/>
                  <wp:docPr id="30" name="Рисунок 30" descr="Питатель">
                    <a:hlinkClick xmlns:a="http://schemas.openxmlformats.org/drawingml/2006/main" r:id="rId15" tooltip="&quot;Питател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итатель">
                            <a:hlinkClick r:id="rId15" tooltip="&quot;Питател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62" cy="99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070607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Питатель</w:t>
            </w:r>
          </w:p>
          <w:p w:rsidR="00E16BE5" w:rsidRPr="00070607" w:rsidRDefault="00E16BE5" w:rsidP="008B50CA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E16BE5" w:rsidRPr="00A37AB4" w:rsidRDefault="00E16BE5" w:rsidP="008B50CA">
            <w:pPr>
              <w:ind w:firstLine="284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На </w:t>
            </w:r>
            <w:r w:rsidRPr="00A37AB4"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>ЗМП ПСМ</w:t>
            </w: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установлен скребковый питатель. Он, в отличие от питателей </w:t>
            </w:r>
            <w:proofErr w:type="spell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шнековой</w:t>
            </w:r>
            <w:proofErr w:type="spellEnd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конструкции, снижает </w:t>
            </w:r>
            <w:hyperlink r:id="rId17" w:history="1">
              <w:proofErr w:type="spellStart"/>
              <w:r w:rsidRPr="00A37AB4">
                <w:rPr>
                  <w:rFonts w:ascii="Tahoma" w:hAnsi="Tahoma" w:cs="Tahoma"/>
                  <w:color w:val="000000" w:themeColor="text1"/>
                  <w:sz w:val="20"/>
                  <w:szCs w:val="20"/>
                </w:rPr>
                <w:t>травмировани</w:t>
              </w:r>
            </w:hyperlink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е</w:t>
            </w:r>
            <w:proofErr w:type="spellEnd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зерна при подборе и транспортировке.</w:t>
            </w:r>
          </w:p>
          <w:p w:rsidR="00E16BE5" w:rsidRDefault="00E16BE5" w:rsidP="008B50CA">
            <w:pPr>
              <w:ind w:firstLine="284"/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Кроме того, такая конструкция позволяет повысить долговечность электродвигателей, так как скребки на цепной передаче, отклоняясь при нагрузке, сглаживают пиковые показатели передачи крутящего момента, особенно в комплектации метателя с ПВИ.</w:t>
            </w:r>
            <w:r w:rsidRPr="00213A2A">
              <w:rPr>
                <w:rFonts w:ascii="Tahoma" w:hAnsi="Tahoma" w:cs="Tahoma"/>
              </w:rPr>
              <w:t xml:space="preserve"> 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070607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293ED5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949739" cy="1154670"/>
                  <wp:effectExtent l="19050" t="0" r="2761" b="0"/>
                  <wp:docPr id="19" name="Рисунок 1" descr="https://www.kleverltd.ru/upload/iblock/27e/27e653da35364b24ad914ef61706a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verltd.ru/upload/iblock/27e/27e653da35364b24ad914ef61706a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674" t="35573" r="65986" b="39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39" cy="115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E16BE5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E16BE5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Удобства перегона</w:t>
            </w:r>
          </w:p>
          <w:p w:rsidR="00E16BE5" w:rsidRPr="00070607" w:rsidRDefault="00E16BE5" w:rsidP="008B50CA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E16BE5" w:rsidRPr="00A37AB4" w:rsidRDefault="00E16BE5" w:rsidP="008B50CA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Благодаря</w:t>
            </w:r>
            <w:proofErr w:type="gramEnd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установленной </w:t>
            </w:r>
            <w:proofErr w:type="spell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снице</w:t>
            </w:r>
            <w:proofErr w:type="spellEnd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комплекс можно зацепить за трактор или другое средство и переместить без учета длины питающего кабеля.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293ED5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0C4B7F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lastRenderedPageBreak/>
              <w:drawing>
                <wp:inline distT="0" distB="0" distL="0" distR="0">
                  <wp:extent cx="1843952" cy="1041621"/>
                  <wp:effectExtent l="19050" t="0" r="3898" b="0"/>
                  <wp:docPr id="20" name="Рисунок 1" descr="https://www.kleverltd.ru/upload/iblock/27e/27e653da35364b24ad914ef61706a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verltd.ru/upload/iblock/27e/27e653da35364b24ad914ef61706a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373" t="46691" r="56824" b="4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09" cy="104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Удобство эксплуатации</w:t>
            </w:r>
          </w:p>
          <w:p w:rsidR="00E16BE5" w:rsidRDefault="00E16BE5" w:rsidP="008B50CA">
            <w:pPr>
              <w:ind w:firstLine="284"/>
              <w:jc w:val="both"/>
              <w:rPr>
                <w:rFonts w:ascii="Tahoma" w:hAnsi="Tahoma" w:cs="Tahoma"/>
              </w:rPr>
            </w:pPr>
          </w:p>
          <w:p w:rsidR="00E16BE5" w:rsidRPr="00A37AB4" w:rsidRDefault="00E16BE5" w:rsidP="008B50CA">
            <w:pPr>
              <w:ind w:firstLine="284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На машине установлены: механизмы регулировки питателей по высоте в виде ручных лебедок и механизм регулировки высоты относительно нижней поверхности загрузочного транспортера.</w:t>
            </w:r>
          </w:p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помощью первого можно регулировать минимальную высоту скребка относительно плоскости расположения бурта вне зависимости от её рельефа</w:t>
            </w:r>
            <w:r w:rsidRPr="00A37AB4" w:rsidDel="005E74A7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</w:p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помощью механизма регулировки высоты загрузочного транспортера облегчаются транспортные переезды, а также работа с буртами высотой более 2,5 метров.</w:t>
            </w:r>
          </w:p>
          <w:p w:rsidR="00E16BE5" w:rsidRPr="008D6B6F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0C4B7F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325714" cy="962108"/>
                  <wp:effectExtent l="19050" t="0" r="7786" b="0"/>
                  <wp:docPr id="21" name="Рисунок 10" descr="E:\Стратегия развития по продуктам\МЗС\202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Стратегия развития по продуктам\МЗС\202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725" r="1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14" cy="96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Pr="000C4B7F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0C4B7F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 xml:space="preserve">Сокращение потерь </w:t>
            </w:r>
          </w:p>
          <w:p w:rsidR="00E16BE5" w:rsidRPr="005E74A7" w:rsidRDefault="00E16BE5" w:rsidP="008B50CA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E16BE5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E226A8">
              <w:rPr>
                <w:rFonts w:ascii="Tahoma" w:hAnsi="Tahoma" w:cs="Tahoma"/>
                <w:sz w:val="20"/>
                <w:szCs w:val="20"/>
              </w:rPr>
              <w:t>Ограничители, установленные на ЗМП-ПСМ, значительно снижают просыпание зерновой массы, что увеличивает производительность и сокращает ручной труд.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B30A5C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340623" cy="1148918"/>
                  <wp:effectExtent l="19050" t="0" r="0" b="0"/>
                  <wp:docPr id="22" name="Рисунок 1" descr="https://www.kleverltd.ru/upload/iblock/27e/27e653da35364b24ad914ef61706a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verltd.ru/upload/iblock/27e/27e653da35364b24ad914ef61706a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092" t="46349" r="49384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74" cy="1150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Pr="00B30A5C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30A5C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Органы управления</w:t>
            </w:r>
          </w:p>
          <w:p w:rsidR="00E16BE5" w:rsidRPr="0092565B" w:rsidRDefault="00E16BE5" w:rsidP="008B50CA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E16BE5" w:rsidRPr="000C4B7F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E226A8">
              <w:rPr>
                <w:rFonts w:ascii="Tahoma" w:hAnsi="Tahoma" w:cs="Tahoma"/>
                <w:sz w:val="20"/>
                <w:szCs w:val="20"/>
              </w:rPr>
              <w:t>Органы управления комплексом расположены с одной стороны, на относительно близком расстоянии. Это существенно экономит трудозатраты оператора, исключая лишние  перемещения.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B30A5C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3531" cy="723569"/>
                  <wp:effectExtent l="19050" t="0" r="0" b="0"/>
                  <wp:docPr id="23" name="Рисунок 11" descr="https://www.kleverltd.ru/images/stories/catalog_tech3/34.%20MZS/PrMz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kleverltd.ru/images/stories/catalog_tech3/34.%20MZS/PrMz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50" cy="72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Pr="00B30A5C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30A5C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Маневренность передвижения</w:t>
            </w:r>
          </w:p>
          <w:p w:rsidR="00E16BE5" w:rsidRDefault="00E16BE5" w:rsidP="008B50CA">
            <w:pPr>
              <w:rPr>
                <w:rFonts w:ascii="Tahoma" w:hAnsi="Tahoma" w:cs="Tahoma"/>
              </w:rPr>
            </w:pPr>
          </w:p>
          <w:p w:rsidR="00E16BE5" w:rsidRPr="00A37AB4" w:rsidRDefault="00E16BE5" w:rsidP="008B50CA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Благодаря переднему приводу хода улучшилась маневренность передвижения.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Default="00E16BE5" w:rsidP="008B50CA">
            <w:pPr>
              <w:spacing w:line="300" w:lineRule="atLeast"/>
              <w:jc w:val="center"/>
              <w:rPr>
                <w:noProof/>
              </w:rPr>
            </w:pPr>
            <w:r w:rsidRPr="00B30A5C">
              <w:rPr>
                <w:noProof/>
              </w:rPr>
              <w:drawing>
                <wp:inline distT="0" distB="0" distL="0" distR="0">
                  <wp:extent cx="1194960" cy="1288112"/>
                  <wp:effectExtent l="19050" t="0" r="5190" b="0"/>
                  <wp:docPr id="2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268" t="17084" r="36647" b="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37" cy="1295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Pr="00B30A5C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30A5C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Управления рабочим ходом</w:t>
            </w:r>
          </w:p>
          <w:p w:rsidR="00E16BE5" w:rsidRDefault="00E16BE5" w:rsidP="008B50CA">
            <w:pPr>
              <w:rPr>
                <w:rFonts w:ascii="Tahoma" w:hAnsi="Tahoma" w:cs="Tahoma"/>
                <w:spacing w:val="-2"/>
              </w:rPr>
            </w:pPr>
          </w:p>
          <w:p w:rsidR="00E16BE5" w:rsidRPr="00A37AB4" w:rsidRDefault="00E16BE5" w:rsidP="008B50CA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В зависимости от модификации шкаф управления ЗМП-ПСМ устанавливается либо с ПВИ, либо с частотным преобразователем для управления рабочей скоростью движения машины. Машины с ПВИ дешевле, а с частотным преобразователем позволяют точно регулировать рабочую скорость движения, снижая нагрузку на электродвигатель привода загрузочного транспортера и питателей.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B30A5C" w:rsidRDefault="00E16BE5" w:rsidP="008B50CA">
            <w:pPr>
              <w:spacing w:line="300" w:lineRule="atLeast"/>
              <w:jc w:val="center"/>
              <w:rPr>
                <w:noProof/>
              </w:rPr>
            </w:pPr>
            <w:r w:rsidRPr="00D33F49">
              <w:rPr>
                <w:noProof/>
              </w:rPr>
              <w:drawing>
                <wp:inline distT="0" distB="0" distL="0" distR="0">
                  <wp:extent cx="1420136" cy="1272209"/>
                  <wp:effectExtent l="19050" t="0" r="8614" b="0"/>
                  <wp:docPr id="2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3082" t="13222" b="21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37" cy="12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Pr="00DC4728" w:rsidRDefault="00E16BE5" w:rsidP="008B50CA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DC4728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Расширенные технические возможности</w:t>
            </w:r>
          </w:p>
          <w:p w:rsidR="00E16BE5" w:rsidRDefault="00E16BE5" w:rsidP="008B50CA">
            <w:pPr>
              <w:ind w:firstLine="284"/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E16BE5" w:rsidRPr="00A37AB4" w:rsidRDefault="00E16BE5" w:rsidP="008B50CA">
            <w:pPr>
              <w:ind w:firstLine="284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Выгрузные механизмы ЗМП-ПСМ могут поворачиваться относительно вертикальной оси на 135</w:t>
            </w: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в режиме метателя и 115</w:t>
            </w: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– протравливателя, что увеличивает возможности применения данной техники. </w:t>
            </w:r>
          </w:p>
          <w:p w:rsidR="00E16BE5" w:rsidRPr="00B30A5C" w:rsidRDefault="00E16BE5" w:rsidP="008B50CA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Для предотвращения проворачивания машины в процессе работы под опорной площадкой устанавливается механический тормоз.</w:t>
            </w: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070607" w:rsidRDefault="00E16BE5" w:rsidP="008B50CA">
            <w:pPr>
              <w:spacing w:line="300" w:lineRule="atLeast"/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164E09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595065" cy="1269649"/>
                  <wp:effectExtent l="19050" t="0" r="5135" b="0"/>
                  <wp:docPr id="26" name="Рисунок 10" descr="2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" name="Рисунок 80" descr="2_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 l="23146" t="49663" r="40356" b="10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95" cy="127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Pr="00164E09" w:rsidRDefault="00E16BE5" w:rsidP="008B50CA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164E09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Простота настройки протравливания</w:t>
            </w:r>
          </w:p>
          <w:p w:rsidR="00E16BE5" w:rsidRDefault="00E16BE5" w:rsidP="008B50CA">
            <w:pPr>
              <w:ind w:firstLine="284"/>
              <w:jc w:val="both"/>
              <w:rPr>
                <w:rFonts w:ascii="Tahoma" w:hAnsi="Tahoma" w:cs="Tahoma"/>
              </w:rPr>
            </w:pPr>
          </w:p>
          <w:p w:rsidR="00E16BE5" w:rsidRPr="00A37AB4" w:rsidRDefault="00E16BE5" w:rsidP="008B50CA">
            <w:pPr>
              <w:ind w:firstLine="284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Система подачи химических препаратов в бункер относительно проста по устройству и состоит из следующих компонентов: емкости для раствора, насоса, форсунок и соединительных трубопроводов.</w:t>
            </w:r>
          </w:p>
          <w:p w:rsidR="00E16BE5" w:rsidRPr="003E343A" w:rsidRDefault="00E16BE5" w:rsidP="008B50CA">
            <w:pPr>
              <w:ind w:firstLine="284"/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Управление расходом химического препарата осуществляется ручным способом (с помощью шаровых кранов). Такое решение значительно снижает стоимость протравливателя при сохранении качества обработки семян. </w:t>
            </w:r>
          </w:p>
          <w:p w:rsidR="00E16BE5" w:rsidRPr="00070607" w:rsidRDefault="00E16BE5" w:rsidP="008B50CA">
            <w:pPr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</w:tc>
      </w:tr>
      <w:tr w:rsidR="00E16BE5" w:rsidRPr="00070607" w:rsidTr="008B50CA">
        <w:tc>
          <w:tcPr>
            <w:tcW w:w="0" w:type="auto"/>
            <w:shd w:val="clear" w:color="auto" w:fill="FFFFFF"/>
            <w:vAlign w:val="center"/>
            <w:hideMark/>
          </w:tcPr>
          <w:p w:rsidR="00E16BE5" w:rsidRPr="00070607" w:rsidRDefault="00E16BE5" w:rsidP="008B50CA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164E09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lastRenderedPageBreak/>
              <w:drawing>
                <wp:inline distT="0" distB="0" distL="0" distR="0">
                  <wp:extent cx="1964441" cy="1399429"/>
                  <wp:effectExtent l="19050" t="0" r="0" b="0"/>
                  <wp:docPr id="27" name="Рисунок 11" descr="Схема подключ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0" name="Рисунок 6" descr="Схема подклю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62" cy="1399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FFFFFF"/>
            <w:hideMark/>
          </w:tcPr>
          <w:p w:rsidR="00E16BE5" w:rsidRDefault="00E16BE5" w:rsidP="008B50CA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E16BE5" w:rsidRPr="00926FF1" w:rsidRDefault="00E16BE5" w:rsidP="008B50CA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926FF1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Перемешивание</w:t>
            </w:r>
          </w:p>
          <w:p w:rsidR="00E16BE5" w:rsidRDefault="00E16BE5" w:rsidP="008B50CA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E16BE5" w:rsidRDefault="00E16BE5" w:rsidP="008B50CA">
            <w:pPr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E226A8">
              <w:rPr>
                <w:rFonts w:ascii="Tahoma" w:hAnsi="Tahoma" w:cs="Tahoma"/>
                <w:sz w:val="20"/>
                <w:szCs w:val="20"/>
              </w:rPr>
              <w:t>Система внесения химических препаратов  выполнена таким образом, что часть рабочего раствора возвращается в емкость. При этом происходит дополнительное перемешивание раствора, что повышает равномерность распределения в нем действующих веществ.</w:t>
            </w:r>
          </w:p>
        </w:tc>
      </w:tr>
    </w:tbl>
    <w:p w:rsidR="00E16BE5" w:rsidRPr="00070607" w:rsidRDefault="00E16BE5" w:rsidP="00E16BE5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678"/>
        <w:gridCol w:w="1418"/>
        <w:gridCol w:w="1559"/>
        <w:gridCol w:w="1511"/>
        <w:gridCol w:w="1608"/>
      </w:tblGrid>
      <w:tr w:rsidR="00E16BE5" w:rsidRPr="00410991" w:rsidTr="008B50CA">
        <w:tc>
          <w:tcPr>
            <w:tcW w:w="10774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16BE5" w:rsidRPr="00410991" w:rsidRDefault="00E16BE5" w:rsidP="008B50CA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410991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Модель ЗМП-ПСМ-…</w:t>
            </w:r>
          </w:p>
        </w:tc>
        <w:tc>
          <w:tcPr>
            <w:tcW w:w="141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01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02</w:t>
            </w:r>
          </w:p>
        </w:tc>
        <w:tc>
          <w:tcPr>
            <w:tcW w:w="1511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05</w:t>
            </w:r>
          </w:p>
        </w:tc>
        <w:tc>
          <w:tcPr>
            <w:tcW w:w="160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06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Исполнение </w:t>
            </w:r>
          </w:p>
        </w:tc>
        <w:tc>
          <w:tcPr>
            <w:tcW w:w="141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стандартное 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стандартное</w:t>
            </w:r>
          </w:p>
        </w:tc>
        <w:tc>
          <w:tcPr>
            <w:tcW w:w="1511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удлиненным желобом</w:t>
            </w:r>
          </w:p>
        </w:tc>
        <w:tc>
          <w:tcPr>
            <w:tcW w:w="160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удлиненным желобом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Шкаф управления электрический</w:t>
            </w:r>
          </w:p>
        </w:tc>
        <w:tc>
          <w:tcPr>
            <w:tcW w:w="141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реле выдержки времени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частотным преобразователем</w:t>
            </w:r>
          </w:p>
        </w:tc>
        <w:tc>
          <w:tcPr>
            <w:tcW w:w="1511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реле выдержки времени</w:t>
            </w:r>
          </w:p>
        </w:tc>
        <w:tc>
          <w:tcPr>
            <w:tcW w:w="160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частотным преобразователем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Высота погрузки в транспортное средство, </w:t>
            </w: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3,4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Ширина захвата, </w:t>
            </w: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19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5,2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Ящик электрический с панелью управления</w:t>
            </w:r>
          </w:p>
        </w:tc>
        <w:tc>
          <w:tcPr>
            <w:tcW w:w="141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Стандарт</w:t>
            </w:r>
          </w:p>
        </w:tc>
        <w:tc>
          <w:tcPr>
            <w:tcW w:w="1559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частотным преобразователем</w:t>
            </w:r>
          </w:p>
        </w:tc>
        <w:tc>
          <w:tcPr>
            <w:tcW w:w="1511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Стандарт</w:t>
            </w:r>
          </w:p>
        </w:tc>
        <w:tc>
          <w:tcPr>
            <w:tcW w:w="160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 частотным преобразователем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Производительность (метание пшеницы/протравливание пшеницы), до т/ч, </w:t>
            </w: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90/20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Дальность полета зерна (пшеницы) от места забора зерна питателя, до, </w:t>
            </w: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20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Высота бросания зерна (пшеницы), до, </w:t>
            </w: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6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Емкость бака для химических препаратов, </w:t>
            </w:r>
            <w:proofErr w:type="gramStart"/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120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Полнота протравливания</w:t>
            </w:r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100</w:t>
            </w: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  <w:vertAlign w:val="subscript"/>
              </w:rPr>
              <w:t>-5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Потребляемая мощность, кВт</w:t>
            </w:r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10</w:t>
            </w:r>
          </w:p>
        </w:tc>
      </w:tr>
      <w:tr w:rsidR="00E16BE5" w:rsidRPr="00410991" w:rsidTr="008B50CA">
        <w:tc>
          <w:tcPr>
            <w:tcW w:w="467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Привод</w:t>
            </w:r>
          </w:p>
        </w:tc>
        <w:tc>
          <w:tcPr>
            <w:tcW w:w="6096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E5" w:rsidRPr="00A37AB4" w:rsidRDefault="00E16BE5" w:rsidP="008B50CA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37AB4">
              <w:rPr>
                <w:rFonts w:ascii="Tahoma" w:hAnsi="Tahoma" w:cs="Tahoma"/>
                <w:color w:val="000000" w:themeColor="text1"/>
                <w:sz w:val="20"/>
                <w:szCs w:val="20"/>
              </w:rPr>
              <w:t>Электрический 380В</w:t>
            </w:r>
          </w:p>
        </w:tc>
      </w:tr>
    </w:tbl>
    <w:p w:rsidR="00DF774B" w:rsidRPr="00E16BE5" w:rsidRDefault="00DF774B" w:rsidP="00E16BE5"/>
    <w:sectPr w:rsidR="00DF774B" w:rsidRPr="00E16BE5" w:rsidSect="00D75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C4DBD"/>
    <w:multiLevelType w:val="multilevel"/>
    <w:tmpl w:val="734CB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E90"/>
    <w:rsid w:val="000D1EA1"/>
    <w:rsid w:val="001D6E90"/>
    <w:rsid w:val="004366A8"/>
    <w:rsid w:val="00707B92"/>
    <w:rsid w:val="007A4C27"/>
    <w:rsid w:val="009D372F"/>
    <w:rsid w:val="00B21453"/>
    <w:rsid w:val="00B74FD4"/>
    <w:rsid w:val="00D75541"/>
    <w:rsid w:val="00DF774B"/>
    <w:rsid w:val="00E1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D6E9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7B9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6E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6E9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D6E9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707B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707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DF774B"/>
    <w:rPr>
      <w:b/>
      <w:bCs/>
    </w:rPr>
  </w:style>
  <w:style w:type="character" w:styleId="a7">
    <w:name w:val="Emphasis"/>
    <w:basedOn w:val="a0"/>
    <w:uiPriority w:val="20"/>
    <w:qFormat/>
    <w:rsid w:val="00DF774B"/>
    <w:rPr>
      <w:i/>
      <w:iCs/>
    </w:rPr>
  </w:style>
  <w:style w:type="paragraph" w:styleId="a8">
    <w:name w:val="List Paragraph"/>
    <w:basedOn w:val="a"/>
    <w:uiPriority w:val="34"/>
    <w:qFormat/>
    <w:rsid w:val="00E16BE5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16BE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7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12" Type="http://schemas.microsoft.com/office/2007/relationships/hdphoto" Target="NULL"/><Relationship Id="rId17" Type="http://schemas.openxmlformats.org/officeDocument/2006/relationships/hyperlink" Target="https://kak-pishetsya.com/%D1%82%D1%80%D0%B0%D0%B2%D0%BC%D0%B8%D1%80%D0%BE%D0%B2%D0%B0%D0%BD%D0%B8%D0%B8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kleverltd.com.opt-images.1c-bitrix-cdn.ru/images/stories/catalog_tech3/34.%20MZS/PrMzs2.jpg?148709720097400" TargetMode="External"/><Relationship Id="rId23" Type="http://schemas.openxmlformats.org/officeDocument/2006/relationships/image" Target="media/image10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11868BFC44B422195458AFF438139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443C29-77C8-485E-8AEF-A7DDFA1B3A2A}"/>
      </w:docPartPr>
      <w:docPartBody>
        <w:p w:rsidR="00000000" w:rsidRDefault="009B112C" w:rsidP="009B112C">
          <w:pPr>
            <w:pStyle w:val="B11868BFC44B422195458AFF43813989"/>
          </w:pPr>
          <w:r w:rsidRPr="00C002CA">
            <w:rPr>
              <w:rStyle w:val="a3"/>
              <w:rFonts w:ascii="Tahoma" w:eastAsia="Calibri" w:hAnsi="Tahoma" w:cs="Tahoma"/>
              <w:b/>
              <w:color w:val="7F7F7F" w:themeColor="text1" w:themeTint="80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B112C"/>
    <w:rsid w:val="009B112C"/>
    <w:rsid w:val="009F7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B112C"/>
    <w:rPr>
      <w:color w:val="808080"/>
    </w:rPr>
  </w:style>
  <w:style w:type="paragraph" w:customStyle="1" w:styleId="B11868BFC44B422195458AFF43813989">
    <w:name w:val="B11868BFC44B422195458AFF43813989"/>
    <w:rsid w:val="009B112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KZ Rostselmash</Company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2022-04-11T08:19:00Z</dcterms:created>
  <dcterms:modified xsi:type="dcterms:W3CDTF">2022-04-15T12:37:00Z</dcterms:modified>
</cp:coreProperties>
</file>